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0151" w:rsidRPr="001F0151" w:rsidRDefault="001F0151" w:rsidP="001F0151">
      <w:pPr>
        <w:spacing w:line="480" w:lineRule="auto"/>
        <w:rPr>
          <w:rFonts w:ascii="Times New Roman" w:hAnsi="Times New Roman" w:cs="Times New Roman"/>
          <w:sz w:val="24"/>
          <w:szCs w:val="24"/>
        </w:rPr>
      </w:pPr>
    </w:p>
    <w:p w:rsidR="001F0151" w:rsidRPr="001F0151" w:rsidRDefault="001F0151" w:rsidP="001F0151">
      <w:pPr>
        <w:spacing w:line="480" w:lineRule="auto"/>
        <w:rPr>
          <w:rFonts w:ascii="Times New Roman" w:hAnsi="Times New Roman" w:cs="Times New Roman"/>
          <w:sz w:val="24"/>
          <w:szCs w:val="24"/>
        </w:rPr>
      </w:pPr>
    </w:p>
    <w:p w:rsidR="001F0151" w:rsidRPr="001F0151" w:rsidRDefault="001F0151" w:rsidP="001F0151">
      <w:pPr>
        <w:spacing w:line="480" w:lineRule="auto"/>
        <w:rPr>
          <w:rFonts w:ascii="Times New Roman" w:hAnsi="Times New Roman" w:cs="Times New Roman"/>
          <w:sz w:val="24"/>
          <w:szCs w:val="24"/>
        </w:rPr>
      </w:pPr>
    </w:p>
    <w:p w:rsidR="001F0151" w:rsidRDefault="001F0151" w:rsidP="001F0151">
      <w:pPr>
        <w:spacing w:line="480" w:lineRule="auto"/>
        <w:rPr>
          <w:rFonts w:ascii="Times New Roman" w:hAnsi="Times New Roman" w:cs="Times New Roman"/>
          <w:sz w:val="24"/>
          <w:szCs w:val="24"/>
        </w:rPr>
      </w:pPr>
    </w:p>
    <w:p w:rsidR="001F0151" w:rsidRDefault="001F0151" w:rsidP="001F0151">
      <w:pPr>
        <w:spacing w:line="480" w:lineRule="auto"/>
        <w:rPr>
          <w:rFonts w:ascii="Times New Roman" w:hAnsi="Times New Roman" w:cs="Times New Roman"/>
          <w:sz w:val="24"/>
          <w:szCs w:val="24"/>
        </w:rPr>
      </w:pPr>
    </w:p>
    <w:p w:rsidR="001F0151" w:rsidRDefault="001F0151" w:rsidP="001F0151">
      <w:pPr>
        <w:spacing w:line="480" w:lineRule="auto"/>
        <w:rPr>
          <w:rFonts w:ascii="Times New Roman" w:hAnsi="Times New Roman" w:cs="Times New Roman"/>
          <w:sz w:val="24"/>
          <w:szCs w:val="24"/>
        </w:rPr>
      </w:pPr>
    </w:p>
    <w:p w:rsidR="001F0151" w:rsidRPr="001F0151" w:rsidRDefault="001F0151" w:rsidP="001F0151">
      <w:pPr>
        <w:spacing w:line="480" w:lineRule="auto"/>
        <w:rPr>
          <w:rFonts w:ascii="Times New Roman" w:hAnsi="Times New Roman" w:cs="Times New Roman"/>
          <w:sz w:val="24"/>
          <w:szCs w:val="24"/>
        </w:rPr>
      </w:pPr>
    </w:p>
    <w:p w:rsidR="001F0151" w:rsidRPr="001F0151" w:rsidRDefault="001F0151" w:rsidP="001F0151">
      <w:pPr>
        <w:spacing w:line="480" w:lineRule="auto"/>
        <w:jc w:val="center"/>
        <w:rPr>
          <w:rFonts w:ascii="Times New Roman" w:hAnsi="Times New Roman" w:cs="Times New Roman"/>
          <w:b/>
          <w:sz w:val="24"/>
          <w:szCs w:val="24"/>
        </w:rPr>
      </w:pPr>
      <w:r w:rsidRPr="001F0151">
        <w:rPr>
          <w:rFonts w:ascii="Times New Roman" w:hAnsi="Times New Roman" w:cs="Times New Roman"/>
          <w:b/>
          <w:sz w:val="24"/>
          <w:szCs w:val="24"/>
        </w:rPr>
        <w:t>State Bureaucracy</w:t>
      </w:r>
    </w:p>
    <w:p w:rsidR="001F0151" w:rsidRPr="001F0151" w:rsidRDefault="001F0151" w:rsidP="001F0151">
      <w:pPr>
        <w:spacing w:line="480" w:lineRule="auto"/>
        <w:jc w:val="center"/>
        <w:rPr>
          <w:rFonts w:ascii="Times New Roman" w:hAnsi="Times New Roman" w:cs="Times New Roman"/>
          <w:sz w:val="24"/>
          <w:szCs w:val="24"/>
        </w:rPr>
      </w:pPr>
      <w:r w:rsidRPr="001F0151">
        <w:rPr>
          <w:rFonts w:ascii="Times New Roman" w:hAnsi="Times New Roman" w:cs="Times New Roman"/>
          <w:sz w:val="24"/>
          <w:szCs w:val="24"/>
        </w:rPr>
        <w:t>Name</w:t>
      </w:r>
    </w:p>
    <w:p w:rsidR="001F0151" w:rsidRPr="001F0151" w:rsidRDefault="001F0151" w:rsidP="001F0151">
      <w:pPr>
        <w:spacing w:line="480" w:lineRule="auto"/>
        <w:jc w:val="center"/>
        <w:rPr>
          <w:rFonts w:ascii="Times New Roman" w:hAnsi="Times New Roman" w:cs="Times New Roman"/>
          <w:sz w:val="24"/>
          <w:szCs w:val="24"/>
        </w:rPr>
      </w:pPr>
      <w:r w:rsidRPr="001F0151">
        <w:rPr>
          <w:rFonts w:ascii="Times New Roman" w:hAnsi="Times New Roman" w:cs="Times New Roman"/>
          <w:sz w:val="24"/>
          <w:szCs w:val="24"/>
        </w:rPr>
        <w:t>Institution</w:t>
      </w:r>
    </w:p>
    <w:p w:rsidR="001F0151" w:rsidRPr="001F0151" w:rsidRDefault="001F0151" w:rsidP="001F0151">
      <w:pPr>
        <w:spacing w:line="480" w:lineRule="auto"/>
        <w:jc w:val="center"/>
        <w:rPr>
          <w:rFonts w:ascii="Times New Roman" w:hAnsi="Times New Roman" w:cs="Times New Roman"/>
          <w:sz w:val="24"/>
          <w:szCs w:val="24"/>
        </w:rPr>
      </w:pPr>
      <w:r w:rsidRPr="001F0151">
        <w:rPr>
          <w:rFonts w:ascii="Times New Roman" w:hAnsi="Times New Roman" w:cs="Times New Roman"/>
          <w:sz w:val="24"/>
          <w:szCs w:val="24"/>
        </w:rPr>
        <w:t>Date</w:t>
      </w:r>
    </w:p>
    <w:p w:rsidR="001F0151" w:rsidRPr="001F0151" w:rsidRDefault="001F0151" w:rsidP="001F0151">
      <w:pPr>
        <w:spacing w:line="480" w:lineRule="auto"/>
        <w:rPr>
          <w:rFonts w:ascii="Times New Roman" w:hAnsi="Times New Roman" w:cs="Times New Roman"/>
          <w:sz w:val="24"/>
          <w:szCs w:val="24"/>
        </w:rPr>
      </w:pPr>
    </w:p>
    <w:p w:rsidR="001F0151" w:rsidRPr="001F0151" w:rsidRDefault="001F0151" w:rsidP="001F0151">
      <w:pPr>
        <w:spacing w:line="480" w:lineRule="auto"/>
        <w:rPr>
          <w:rFonts w:ascii="Times New Roman" w:hAnsi="Times New Roman" w:cs="Times New Roman"/>
          <w:sz w:val="24"/>
          <w:szCs w:val="24"/>
        </w:rPr>
      </w:pPr>
    </w:p>
    <w:p w:rsidR="001F0151" w:rsidRPr="001F0151" w:rsidRDefault="001F0151" w:rsidP="001F0151">
      <w:pPr>
        <w:spacing w:line="480" w:lineRule="auto"/>
        <w:rPr>
          <w:rFonts w:ascii="Times New Roman" w:hAnsi="Times New Roman" w:cs="Times New Roman"/>
          <w:sz w:val="24"/>
          <w:szCs w:val="24"/>
        </w:rPr>
      </w:pPr>
    </w:p>
    <w:p w:rsidR="001F0151" w:rsidRPr="001F0151" w:rsidRDefault="001F0151" w:rsidP="001F0151">
      <w:pPr>
        <w:spacing w:line="480" w:lineRule="auto"/>
        <w:rPr>
          <w:rFonts w:ascii="Times New Roman" w:hAnsi="Times New Roman" w:cs="Times New Roman"/>
          <w:sz w:val="24"/>
          <w:szCs w:val="24"/>
        </w:rPr>
      </w:pPr>
    </w:p>
    <w:p w:rsidR="001F0151" w:rsidRDefault="001F0151" w:rsidP="001F0151">
      <w:pPr>
        <w:spacing w:line="480" w:lineRule="auto"/>
        <w:rPr>
          <w:rFonts w:ascii="Times New Roman" w:hAnsi="Times New Roman" w:cs="Times New Roman"/>
          <w:sz w:val="24"/>
          <w:szCs w:val="24"/>
        </w:rPr>
      </w:pPr>
    </w:p>
    <w:p w:rsidR="001F0151" w:rsidRDefault="001F0151" w:rsidP="001F0151">
      <w:pPr>
        <w:spacing w:line="480" w:lineRule="auto"/>
        <w:rPr>
          <w:rFonts w:ascii="Times New Roman" w:hAnsi="Times New Roman" w:cs="Times New Roman"/>
          <w:sz w:val="24"/>
          <w:szCs w:val="24"/>
        </w:rPr>
      </w:pPr>
    </w:p>
    <w:p w:rsidR="0028736C" w:rsidRPr="001F0151" w:rsidRDefault="0028736C" w:rsidP="001F0151">
      <w:pPr>
        <w:spacing w:line="480" w:lineRule="auto"/>
        <w:jc w:val="center"/>
        <w:rPr>
          <w:rFonts w:ascii="Times New Roman" w:hAnsi="Times New Roman" w:cs="Times New Roman"/>
          <w:b/>
          <w:sz w:val="24"/>
          <w:szCs w:val="24"/>
        </w:rPr>
      </w:pPr>
      <w:r w:rsidRPr="001F0151">
        <w:rPr>
          <w:rFonts w:ascii="Times New Roman" w:hAnsi="Times New Roman" w:cs="Times New Roman"/>
          <w:b/>
          <w:sz w:val="24"/>
          <w:szCs w:val="24"/>
        </w:rPr>
        <w:lastRenderedPageBreak/>
        <w:t>State Bureaucracy</w:t>
      </w:r>
    </w:p>
    <w:p w:rsidR="0028736C" w:rsidRPr="001F0151" w:rsidRDefault="0028736C" w:rsidP="001F0151">
      <w:pPr>
        <w:spacing w:line="480" w:lineRule="auto"/>
        <w:ind w:firstLine="720"/>
        <w:rPr>
          <w:rFonts w:ascii="Times New Roman" w:hAnsi="Times New Roman" w:cs="Times New Roman"/>
          <w:sz w:val="24"/>
          <w:szCs w:val="24"/>
        </w:rPr>
      </w:pPr>
      <w:r w:rsidRPr="001F0151">
        <w:rPr>
          <w:rFonts w:ascii="Times New Roman" w:hAnsi="Times New Roman" w:cs="Times New Roman"/>
          <w:sz w:val="24"/>
          <w:szCs w:val="24"/>
        </w:rPr>
        <w:t>State bureaucracy is a form of management that has too many layers in governmental states, and the majority of the officials in these departments are not elected. Texas bureaucracy comprises of the plural and appointed executives as well as commissions and boards. The members of the plural executive are the lieutenant governor, attorney general, public accounts controller, agricultural commissioner, and lands office commissioner</w:t>
      </w:r>
      <w:r w:rsidR="007E5452" w:rsidRPr="001F0151">
        <w:rPr>
          <w:rFonts w:ascii="Times New Roman" w:hAnsi="Times New Roman" w:cs="Times New Roman"/>
          <w:sz w:val="24"/>
          <w:szCs w:val="24"/>
        </w:rPr>
        <w:t xml:space="preserve"> (Newell et al., 2015)</w:t>
      </w:r>
      <w:r w:rsidRPr="001F0151">
        <w:rPr>
          <w:rFonts w:ascii="Times New Roman" w:hAnsi="Times New Roman" w:cs="Times New Roman"/>
          <w:sz w:val="24"/>
          <w:szCs w:val="24"/>
        </w:rPr>
        <w:t xml:space="preserve">. The appointed executive comprises the governor appointees who have to be approved by the senate. These members include the commissioner of insurance, the state's secretary, and the commissioner at the department of health services. Commissions and boards comprise elected, ex officio, and governor appointees. The elected board and commission members serve in the education and railroad board and commission, respectively. Ex officio members are elected, and they serve on the board of legislature restriction.  The governor appoints members in the commission of conservation of national resources, and they serve for a period of six years.   </w:t>
      </w:r>
    </w:p>
    <w:p w:rsidR="0028736C" w:rsidRPr="001F0151" w:rsidRDefault="0028736C" w:rsidP="001F0151">
      <w:pPr>
        <w:spacing w:line="480" w:lineRule="auto"/>
        <w:ind w:firstLine="720"/>
        <w:rPr>
          <w:rFonts w:ascii="Times New Roman" w:hAnsi="Times New Roman" w:cs="Times New Roman"/>
          <w:sz w:val="24"/>
          <w:szCs w:val="24"/>
        </w:rPr>
      </w:pPr>
      <w:r w:rsidRPr="001F0151">
        <w:rPr>
          <w:rFonts w:ascii="Times New Roman" w:hAnsi="Times New Roman" w:cs="Times New Roman"/>
          <w:sz w:val="24"/>
          <w:szCs w:val="24"/>
        </w:rPr>
        <w:t>Some of the characteristics of state bureaucracy in Texas include size, structural organization, and hierarchy, expertise, neutrality, public support, and information</w:t>
      </w:r>
      <w:r w:rsidR="007E5452" w:rsidRPr="001F0151">
        <w:rPr>
          <w:rFonts w:ascii="Times New Roman" w:hAnsi="Times New Roman" w:cs="Times New Roman"/>
          <w:sz w:val="24"/>
          <w:szCs w:val="24"/>
        </w:rPr>
        <w:t xml:space="preserve"> (Newell et al., 2015)</w:t>
      </w:r>
      <w:r w:rsidRPr="001F0151">
        <w:rPr>
          <w:rFonts w:ascii="Times New Roman" w:hAnsi="Times New Roman" w:cs="Times New Roman"/>
          <w:sz w:val="24"/>
          <w:szCs w:val="24"/>
        </w:rPr>
        <w:t xml:space="preserve">. In terms of employment at the state level, Texas is below average nationally, while in terms of local employment, the state exceeds the national average. In terms of employees at the state level, Texas is ranked 10th nationally. The main functional sectors of the Texas government are tertiary education, health facilities, highways, and corrections department, and the majority of the state's employees are found in these sectors. There are also more than 285 boards, commissions, and agencies owned by the state. In addition, bureaucracy at Texas is not hierarchical, and there is no centralized authority. Notably, the governor has little control over </w:t>
      </w:r>
      <w:r w:rsidRPr="001F0151">
        <w:rPr>
          <w:rFonts w:ascii="Times New Roman" w:hAnsi="Times New Roman" w:cs="Times New Roman"/>
          <w:sz w:val="24"/>
          <w:szCs w:val="24"/>
        </w:rPr>
        <w:lastRenderedPageBreak/>
        <w:t xml:space="preserve">the bureaucracy of the state as well as to the majority of the state's administrators, and this is highly attributed to the plural nature of the executive. </w:t>
      </w:r>
    </w:p>
    <w:p w:rsidR="0028736C" w:rsidRPr="001F0151" w:rsidRDefault="0028736C" w:rsidP="001F0151">
      <w:pPr>
        <w:spacing w:line="480" w:lineRule="auto"/>
        <w:ind w:firstLine="720"/>
        <w:rPr>
          <w:rFonts w:ascii="Times New Roman" w:hAnsi="Times New Roman" w:cs="Times New Roman"/>
          <w:sz w:val="24"/>
          <w:szCs w:val="24"/>
        </w:rPr>
      </w:pPr>
      <w:r w:rsidRPr="001F0151">
        <w:rPr>
          <w:rFonts w:ascii="Times New Roman" w:hAnsi="Times New Roman" w:cs="Times New Roman"/>
          <w:sz w:val="24"/>
          <w:szCs w:val="24"/>
        </w:rPr>
        <w:t>Besides, bureaucracy at Texas is neutral, owing to the establishment of commissions as well as boards that act independently. When hiring bureaucrats, political influence is a major factor as a result of the state's spoil</w:t>
      </w:r>
      <w:r w:rsidR="001F0151">
        <w:rPr>
          <w:rFonts w:ascii="Times New Roman" w:hAnsi="Times New Roman" w:cs="Times New Roman"/>
          <w:sz w:val="24"/>
          <w:szCs w:val="24"/>
        </w:rPr>
        <w:t>s</w:t>
      </w:r>
      <w:bookmarkStart w:id="0" w:name="_GoBack"/>
      <w:bookmarkEnd w:id="0"/>
      <w:r w:rsidRPr="001F0151">
        <w:rPr>
          <w:rFonts w:ascii="Times New Roman" w:hAnsi="Times New Roman" w:cs="Times New Roman"/>
          <w:sz w:val="24"/>
          <w:szCs w:val="24"/>
        </w:rPr>
        <w:t xml:space="preserve"> system. Also, the state's employees are more vulnerable to boards appointed by the governor because the state does not have a system for civil service affairs. Members of commissions and boards are appointed by the governor and approved by the senate. The governor cannot remove a member from a board or a commission unless they get a 2/3 approval from the state's senate</w:t>
      </w:r>
      <w:r w:rsidR="007E5452" w:rsidRPr="001F0151">
        <w:rPr>
          <w:rFonts w:ascii="Times New Roman" w:hAnsi="Times New Roman" w:cs="Times New Roman"/>
          <w:sz w:val="24"/>
          <w:szCs w:val="24"/>
        </w:rPr>
        <w:t xml:space="preserve"> (Newell et al., 2015)</w:t>
      </w:r>
      <w:r w:rsidRPr="001F0151">
        <w:rPr>
          <w:rFonts w:ascii="Times New Roman" w:hAnsi="Times New Roman" w:cs="Times New Roman"/>
          <w:sz w:val="24"/>
          <w:szCs w:val="24"/>
        </w:rPr>
        <w:t xml:space="preserve">. Expertise is not a major factor in the hiring of bureaucrats, and this means that the majority of them may lack merit. The majority of the bureaucrats are appointees of their political groups. Moreover, there are effective public relations between the bureaucrats and the electorate. Furthermore, the agencies of administration in the state collect information for policymaking. They gather such information from the public and the constitution. </w:t>
      </w:r>
    </w:p>
    <w:p w:rsidR="007E5452" w:rsidRPr="001F0151" w:rsidRDefault="0028736C" w:rsidP="001F0151">
      <w:pPr>
        <w:spacing w:line="480" w:lineRule="auto"/>
        <w:ind w:firstLine="720"/>
        <w:rPr>
          <w:rFonts w:ascii="Times New Roman" w:hAnsi="Times New Roman" w:cs="Times New Roman"/>
          <w:sz w:val="24"/>
          <w:szCs w:val="24"/>
        </w:rPr>
      </w:pPr>
      <w:r w:rsidRPr="001F0151">
        <w:rPr>
          <w:rFonts w:ascii="Times New Roman" w:hAnsi="Times New Roman" w:cs="Times New Roman"/>
          <w:sz w:val="24"/>
          <w:szCs w:val="24"/>
        </w:rPr>
        <w:t xml:space="preserve">My frustrating experience with the state Department of Public Safety occurred several years back when I accompanied my dad to collect his driving license at the district area office. After we were issued with the license, we, unfortunately, found that the names were not written correctly. The frustration arose when the concerned authority became reluctant to rectify the mistake. It was so unfortunate that a direct issue </w:t>
      </w:r>
      <w:r w:rsidR="009625B7" w:rsidRPr="001F0151">
        <w:rPr>
          <w:rFonts w:ascii="Times New Roman" w:hAnsi="Times New Roman" w:cs="Times New Roman"/>
          <w:sz w:val="24"/>
          <w:szCs w:val="24"/>
        </w:rPr>
        <w:t xml:space="preserve">like this </w:t>
      </w:r>
      <w:r w:rsidRPr="001F0151">
        <w:rPr>
          <w:rFonts w:ascii="Times New Roman" w:hAnsi="Times New Roman" w:cs="Times New Roman"/>
          <w:sz w:val="24"/>
          <w:szCs w:val="24"/>
        </w:rPr>
        <w:t xml:space="preserve">resulted in frustration with the authorities. To get the issue solved, we reported the unethical behavior of the specific employees to the top management, who promised us to solve the issue and collect the correct driving license the following day. On the following day, I accompanied my father to collect his driving license, and it was well-written.    </w:t>
      </w:r>
    </w:p>
    <w:p w:rsidR="007E5452" w:rsidRPr="001F0151" w:rsidRDefault="007E5452" w:rsidP="001F0151">
      <w:pPr>
        <w:spacing w:line="480" w:lineRule="auto"/>
        <w:jc w:val="center"/>
        <w:rPr>
          <w:rFonts w:ascii="Times New Roman" w:hAnsi="Times New Roman" w:cs="Times New Roman"/>
          <w:b/>
          <w:sz w:val="24"/>
          <w:szCs w:val="24"/>
        </w:rPr>
      </w:pPr>
      <w:r w:rsidRPr="001F0151">
        <w:rPr>
          <w:rFonts w:ascii="Times New Roman" w:hAnsi="Times New Roman" w:cs="Times New Roman"/>
          <w:b/>
          <w:sz w:val="24"/>
          <w:szCs w:val="24"/>
        </w:rPr>
        <w:lastRenderedPageBreak/>
        <w:t>References</w:t>
      </w:r>
    </w:p>
    <w:p w:rsidR="001F0151" w:rsidRPr="007E5452" w:rsidRDefault="00413695" w:rsidP="001F0151">
      <w:pPr>
        <w:spacing w:before="100" w:beforeAutospacing="1" w:after="100" w:afterAutospacing="1" w:line="480" w:lineRule="auto"/>
        <w:ind w:left="720" w:hanging="720"/>
        <w:outlineLvl w:val="0"/>
        <w:rPr>
          <w:rFonts w:ascii="Times New Roman" w:eastAsia="Times New Roman" w:hAnsi="Times New Roman" w:cs="Times New Roman"/>
          <w:bCs/>
          <w:kern w:val="36"/>
          <w:sz w:val="24"/>
          <w:szCs w:val="24"/>
        </w:rPr>
      </w:pPr>
      <w:hyperlink r:id="rId6" w:history="1">
        <w:r w:rsidR="001F0151" w:rsidRPr="001F0151">
          <w:rPr>
            <w:rStyle w:val="Hyperlink"/>
            <w:rFonts w:ascii="Times New Roman" w:eastAsia="Times New Roman" w:hAnsi="Times New Roman" w:cs="Times New Roman"/>
            <w:bCs/>
            <w:kern w:val="36"/>
            <w:sz w:val="24"/>
            <w:szCs w:val="24"/>
          </w:rPr>
          <w:t>https://www.dps.texas.gov/index.htm</w:t>
        </w:r>
      </w:hyperlink>
    </w:p>
    <w:p w:rsidR="001F0151" w:rsidRPr="001F0151" w:rsidRDefault="001F0151" w:rsidP="001F0151">
      <w:pPr>
        <w:spacing w:before="100" w:beforeAutospacing="1" w:after="100" w:afterAutospacing="1" w:line="480" w:lineRule="auto"/>
        <w:ind w:left="720" w:hanging="720"/>
        <w:outlineLvl w:val="0"/>
        <w:rPr>
          <w:rFonts w:ascii="Times New Roman" w:eastAsia="Times New Roman" w:hAnsi="Times New Roman" w:cs="Times New Roman"/>
          <w:bCs/>
          <w:kern w:val="36"/>
          <w:sz w:val="24"/>
          <w:szCs w:val="24"/>
        </w:rPr>
      </w:pPr>
      <w:r w:rsidRPr="007E5452">
        <w:rPr>
          <w:rFonts w:ascii="Times New Roman" w:eastAsia="Times New Roman" w:hAnsi="Times New Roman" w:cs="Times New Roman"/>
          <w:bCs/>
          <w:kern w:val="36"/>
          <w:sz w:val="24"/>
          <w:szCs w:val="24"/>
        </w:rPr>
        <w:t xml:space="preserve">Newell, C., Prindle, D. F., &amp; Riddlesperger, J. (2015). </w:t>
      </w:r>
      <w:r w:rsidRPr="007E5452">
        <w:rPr>
          <w:rFonts w:ascii="Times New Roman" w:eastAsia="Times New Roman" w:hAnsi="Times New Roman" w:cs="Times New Roman"/>
          <w:bCs/>
          <w:i/>
          <w:kern w:val="36"/>
          <w:sz w:val="24"/>
          <w:szCs w:val="24"/>
        </w:rPr>
        <w:t>Texas Politics: Ideal and Reality, Enhanced</w:t>
      </w:r>
      <w:r w:rsidRPr="007E5452">
        <w:rPr>
          <w:rFonts w:ascii="Times New Roman" w:eastAsia="Times New Roman" w:hAnsi="Times New Roman" w:cs="Times New Roman"/>
          <w:bCs/>
          <w:kern w:val="36"/>
          <w:sz w:val="24"/>
          <w:szCs w:val="24"/>
        </w:rPr>
        <w:t>. Cengage Learning.</w:t>
      </w:r>
    </w:p>
    <w:p w:rsidR="00A5169F" w:rsidRPr="001F0151" w:rsidRDefault="00A5169F" w:rsidP="001F0151">
      <w:pPr>
        <w:spacing w:line="480" w:lineRule="auto"/>
        <w:rPr>
          <w:rFonts w:ascii="Times New Roman" w:hAnsi="Times New Roman" w:cs="Times New Roman"/>
          <w:sz w:val="24"/>
          <w:szCs w:val="24"/>
        </w:rPr>
      </w:pPr>
    </w:p>
    <w:sectPr w:rsidR="00A5169F" w:rsidRPr="001F0151" w:rsidSect="001F015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A690F" w:rsidRDefault="003A690F" w:rsidP="001F0151">
      <w:pPr>
        <w:spacing w:after="0" w:line="240" w:lineRule="auto"/>
      </w:pPr>
      <w:r>
        <w:separator/>
      </w:r>
    </w:p>
  </w:endnote>
  <w:endnote w:type="continuationSeparator" w:id="1">
    <w:p w:rsidR="003A690F" w:rsidRDefault="003A690F" w:rsidP="001F015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A690F" w:rsidRDefault="003A690F" w:rsidP="001F0151">
      <w:pPr>
        <w:spacing w:after="0" w:line="240" w:lineRule="auto"/>
      </w:pPr>
      <w:r>
        <w:separator/>
      </w:r>
    </w:p>
  </w:footnote>
  <w:footnote w:type="continuationSeparator" w:id="1">
    <w:p w:rsidR="003A690F" w:rsidRDefault="003A690F" w:rsidP="001F015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151" w:rsidRPr="001F0151" w:rsidRDefault="001F0151">
    <w:pPr>
      <w:pStyle w:val="Header"/>
      <w:rPr>
        <w:rFonts w:ascii="Times New Roman" w:hAnsi="Times New Roman" w:cs="Times New Roman"/>
      </w:rPr>
    </w:pPr>
    <w:r>
      <w:tab/>
    </w:r>
    <w:r>
      <w:tab/>
    </w:r>
    <w:r w:rsidR="00413695" w:rsidRPr="001F0151">
      <w:rPr>
        <w:rFonts w:ascii="Times New Roman" w:hAnsi="Times New Roman" w:cs="Times New Roman"/>
      </w:rPr>
      <w:fldChar w:fldCharType="begin"/>
    </w:r>
    <w:r w:rsidRPr="001F0151">
      <w:rPr>
        <w:rFonts w:ascii="Times New Roman" w:hAnsi="Times New Roman" w:cs="Times New Roman"/>
      </w:rPr>
      <w:instrText xml:space="preserve"> PAGE   \* MERGEFORMAT </w:instrText>
    </w:r>
    <w:r w:rsidR="00413695" w:rsidRPr="001F0151">
      <w:rPr>
        <w:rFonts w:ascii="Times New Roman" w:hAnsi="Times New Roman" w:cs="Times New Roman"/>
      </w:rPr>
      <w:fldChar w:fldCharType="separate"/>
    </w:r>
    <w:r w:rsidR="00597133">
      <w:rPr>
        <w:rFonts w:ascii="Times New Roman" w:hAnsi="Times New Roman" w:cs="Times New Roman"/>
        <w:noProof/>
      </w:rPr>
      <w:t>4</w:t>
    </w:r>
    <w:r w:rsidR="00413695" w:rsidRPr="001F0151">
      <w:rPr>
        <w:rFonts w:ascii="Times New Roman" w:hAnsi="Times New Roman" w:cs="Times New Roman"/>
        <w:noProof/>
      </w:rPr>
      <w:fldChar w:fldCharType="end"/>
    </w:r>
  </w:p>
  <w:p w:rsidR="001F0151" w:rsidRDefault="001F015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0151" w:rsidRPr="001F0151" w:rsidRDefault="001F0151">
    <w:pPr>
      <w:pStyle w:val="Header"/>
      <w:rPr>
        <w:rFonts w:ascii="Times New Roman" w:hAnsi="Times New Roman" w:cs="Times New Roman"/>
        <w:sz w:val="24"/>
        <w:szCs w:val="24"/>
      </w:rPr>
    </w:pPr>
    <w:r>
      <w:tab/>
    </w:r>
    <w:r>
      <w:tab/>
    </w:r>
    <w:r w:rsidR="00413695" w:rsidRPr="001F0151">
      <w:rPr>
        <w:rFonts w:ascii="Times New Roman" w:hAnsi="Times New Roman" w:cs="Times New Roman"/>
        <w:sz w:val="24"/>
        <w:szCs w:val="24"/>
      </w:rPr>
      <w:fldChar w:fldCharType="begin"/>
    </w:r>
    <w:r w:rsidRPr="001F0151">
      <w:rPr>
        <w:rFonts w:ascii="Times New Roman" w:hAnsi="Times New Roman" w:cs="Times New Roman"/>
        <w:sz w:val="24"/>
        <w:szCs w:val="24"/>
      </w:rPr>
      <w:instrText xml:space="preserve"> PAGE   \* MERGEFORMAT </w:instrText>
    </w:r>
    <w:r w:rsidR="00413695" w:rsidRPr="001F0151">
      <w:rPr>
        <w:rFonts w:ascii="Times New Roman" w:hAnsi="Times New Roman" w:cs="Times New Roman"/>
        <w:sz w:val="24"/>
        <w:szCs w:val="24"/>
      </w:rPr>
      <w:fldChar w:fldCharType="separate"/>
    </w:r>
    <w:r w:rsidR="00597133">
      <w:rPr>
        <w:rFonts w:ascii="Times New Roman" w:hAnsi="Times New Roman" w:cs="Times New Roman"/>
        <w:noProof/>
        <w:sz w:val="24"/>
        <w:szCs w:val="24"/>
      </w:rPr>
      <w:t>1</w:t>
    </w:r>
    <w:r w:rsidR="00413695" w:rsidRPr="001F0151">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A5169F"/>
    <w:rsid w:val="00026DB9"/>
    <w:rsid w:val="001F0151"/>
    <w:rsid w:val="002114A4"/>
    <w:rsid w:val="002865A3"/>
    <w:rsid w:val="0028736C"/>
    <w:rsid w:val="002A5F06"/>
    <w:rsid w:val="003A5868"/>
    <w:rsid w:val="003A690F"/>
    <w:rsid w:val="00401293"/>
    <w:rsid w:val="00413695"/>
    <w:rsid w:val="00490EB3"/>
    <w:rsid w:val="00597133"/>
    <w:rsid w:val="006C4B4F"/>
    <w:rsid w:val="00786429"/>
    <w:rsid w:val="007E5452"/>
    <w:rsid w:val="00817A4E"/>
    <w:rsid w:val="009625B7"/>
    <w:rsid w:val="009F7772"/>
    <w:rsid w:val="00A5169F"/>
    <w:rsid w:val="00AE312B"/>
    <w:rsid w:val="00B852E4"/>
    <w:rsid w:val="00C80D72"/>
    <w:rsid w:val="00D00514"/>
    <w:rsid w:val="00D64BF9"/>
    <w:rsid w:val="00DF40D9"/>
    <w:rsid w:val="00F756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36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5452"/>
    <w:rPr>
      <w:color w:val="0000FF" w:themeColor="hyperlink"/>
      <w:u w:val="single"/>
    </w:rPr>
  </w:style>
  <w:style w:type="paragraph" w:styleId="Header">
    <w:name w:val="header"/>
    <w:basedOn w:val="Normal"/>
    <w:link w:val="HeaderChar"/>
    <w:uiPriority w:val="99"/>
    <w:unhideWhenUsed/>
    <w:rsid w:val="001F0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151"/>
  </w:style>
  <w:style w:type="paragraph" w:styleId="Footer">
    <w:name w:val="footer"/>
    <w:basedOn w:val="Normal"/>
    <w:link w:val="FooterChar"/>
    <w:uiPriority w:val="99"/>
    <w:unhideWhenUsed/>
    <w:rsid w:val="001F0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151"/>
  </w:style>
  <w:style w:type="paragraph" w:styleId="BalloonText">
    <w:name w:val="Balloon Text"/>
    <w:basedOn w:val="Normal"/>
    <w:link w:val="BalloonTextChar"/>
    <w:uiPriority w:val="99"/>
    <w:semiHidden/>
    <w:unhideWhenUsed/>
    <w:rsid w:val="001F01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1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5452"/>
    <w:rPr>
      <w:color w:val="0000FF" w:themeColor="hyperlink"/>
      <w:u w:val="single"/>
    </w:rPr>
  </w:style>
  <w:style w:type="paragraph" w:styleId="Header">
    <w:name w:val="header"/>
    <w:basedOn w:val="Normal"/>
    <w:link w:val="HeaderChar"/>
    <w:uiPriority w:val="99"/>
    <w:unhideWhenUsed/>
    <w:rsid w:val="001F01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0151"/>
  </w:style>
  <w:style w:type="paragraph" w:styleId="Footer">
    <w:name w:val="footer"/>
    <w:basedOn w:val="Normal"/>
    <w:link w:val="FooterChar"/>
    <w:uiPriority w:val="99"/>
    <w:unhideWhenUsed/>
    <w:rsid w:val="001F01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0151"/>
  </w:style>
  <w:style w:type="paragraph" w:styleId="BalloonText">
    <w:name w:val="Balloon Text"/>
    <w:basedOn w:val="Normal"/>
    <w:link w:val="BalloonTextChar"/>
    <w:uiPriority w:val="99"/>
    <w:semiHidden/>
    <w:unhideWhenUsed/>
    <w:rsid w:val="001F01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01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ps.texas.gov/index.htm"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2020-11-03T09:46:00Z</dcterms:created>
  <dcterms:modified xsi:type="dcterms:W3CDTF">2020-11-03T09:46:00Z</dcterms:modified>
</cp:coreProperties>
</file>